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85" w:rsidRPr="00845E28" w:rsidRDefault="00310F86" w:rsidP="00845E2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45E28">
        <w:rPr>
          <w:rFonts w:ascii="Sylfaen" w:hAnsi="Sylfaen"/>
          <w:b/>
          <w:sz w:val="24"/>
          <w:szCs w:val="24"/>
        </w:rPr>
        <w:t xml:space="preserve"> </w:t>
      </w:r>
      <w:r w:rsidR="00B90485" w:rsidRPr="00845E28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  საქართველოს შრომის, ჯანმრთელობის დაცვისა და სოციალურ საკითხთა სამინისტრო</w:t>
      </w:r>
      <w:r w:rsidR="005C181B" w:rsidRPr="00845E28">
        <w:rPr>
          <w:rFonts w:ascii="Sylfaen" w:hAnsi="Sylfaen"/>
          <w:b/>
          <w:sz w:val="24"/>
          <w:szCs w:val="24"/>
          <w:lang w:val="ka-GE"/>
        </w:rPr>
        <w:t>, დაავადებათა კონტროლის და საზოგადოებრივი ჯნამრთელობის ეროვნული ცენტრი</w:t>
      </w:r>
    </w:p>
    <w:p w:rsidR="00B90485" w:rsidRPr="00845E28" w:rsidRDefault="00B90485" w:rsidP="00845E28">
      <w:pPr>
        <w:jc w:val="both"/>
        <w:rPr>
          <w:rFonts w:ascii="Sylfaen" w:hAnsi="Sylfaen"/>
          <w:sz w:val="24"/>
          <w:szCs w:val="24"/>
          <w:lang w:val="ka-GE"/>
        </w:rPr>
      </w:pPr>
      <w:r w:rsidRPr="00845E28">
        <w:rPr>
          <w:rFonts w:ascii="Sylfaen" w:hAnsi="Sylfaen"/>
          <w:b/>
          <w:sz w:val="24"/>
          <w:szCs w:val="24"/>
          <w:lang w:val="ka-GE"/>
        </w:rPr>
        <w:t>საკონტაქტო პირი:</w:t>
      </w:r>
      <w:r w:rsidRPr="00845E28">
        <w:rPr>
          <w:rFonts w:ascii="Sylfaen" w:hAnsi="Sylfaen"/>
          <w:sz w:val="24"/>
          <w:szCs w:val="24"/>
          <w:lang w:val="ka-GE"/>
        </w:rPr>
        <w:t xml:space="preserve"> სახელი გვარი, თანმდებობა, საკონტაქტო ინფორმაცია: </w:t>
      </w:r>
      <w:r w:rsidR="005C181B" w:rsidRPr="00845E28">
        <w:rPr>
          <w:rFonts w:ascii="Sylfaen" w:hAnsi="Sylfaen"/>
          <w:sz w:val="24"/>
          <w:szCs w:val="24"/>
          <w:lang w:val="ka-GE"/>
        </w:rPr>
        <w:t>ლელა სტურუა,</w:t>
      </w:r>
      <w:r w:rsidRPr="00845E28">
        <w:rPr>
          <w:rFonts w:ascii="Sylfaen" w:hAnsi="Sylfaen"/>
          <w:sz w:val="24"/>
          <w:szCs w:val="24"/>
          <w:lang w:val="ka-GE"/>
        </w:rPr>
        <w:t xml:space="preserve"> </w:t>
      </w:r>
      <w:r w:rsidR="005C181B" w:rsidRPr="00845E28">
        <w:rPr>
          <w:rFonts w:ascii="Sylfaen" w:hAnsi="Sylfaen"/>
          <w:sz w:val="24"/>
          <w:szCs w:val="24"/>
          <w:lang w:val="ka-GE"/>
        </w:rPr>
        <w:t>არაგადამდები დაავადებების დეპარტამენტის უფროსი</w:t>
      </w:r>
      <w:r w:rsidRPr="00845E28">
        <w:rPr>
          <w:rFonts w:ascii="Sylfaen" w:hAnsi="Sylfaen"/>
          <w:sz w:val="24"/>
          <w:szCs w:val="24"/>
          <w:lang w:val="ka-GE"/>
        </w:rPr>
        <w:t xml:space="preserve"> </w:t>
      </w:r>
      <w:r w:rsidR="005C181B" w:rsidRPr="00845E28">
        <w:rPr>
          <w:rFonts w:ascii="Sylfaen" w:hAnsi="Sylfaen"/>
          <w:sz w:val="24"/>
          <w:szCs w:val="24"/>
          <w:lang w:val="ka-GE"/>
        </w:rPr>
        <w:t>599111797</w:t>
      </w:r>
    </w:p>
    <w:p w:rsidR="00C90186" w:rsidRPr="00845E28" w:rsidRDefault="00B90485" w:rsidP="00845E28">
      <w:pPr>
        <w:jc w:val="both"/>
        <w:rPr>
          <w:rFonts w:ascii="Sylfaen" w:hAnsi="Sylfaen"/>
          <w:sz w:val="24"/>
          <w:szCs w:val="24"/>
          <w:u w:color="FF0000"/>
        </w:rPr>
      </w:pPr>
      <w:r w:rsidRPr="00845E28">
        <w:rPr>
          <w:rFonts w:ascii="Sylfaen" w:hAnsi="Sylfaen"/>
          <w:b/>
          <w:sz w:val="24"/>
          <w:szCs w:val="24"/>
          <w:lang w:val="ka-GE"/>
        </w:rPr>
        <w:t>დირექტივა /რეგულაცია /რეკომენდაცია:</w:t>
      </w:r>
      <w:r w:rsidRPr="00845E28">
        <w:rPr>
          <w:rFonts w:ascii="Sylfaen" w:hAnsi="Sylfaen"/>
          <w:sz w:val="24"/>
          <w:szCs w:val="24"/>
          <w:lang w:val="ka-GE"/>
        </w:rPr>
        <w:t xml:space="preserve">   </w:t>
      </w:r>
      <w:r w:rsidR="00C90186" w:rsidRPr="00845E28">
        <w:rPr>
          <w:rFonts w:ascii="Sylfaen" w:hAnsi="Sylfaen"/>
          <w:sz w:val="24"/>
          <w:szCs w:val="24"/>
          <w:u w:color="FF0000"/>
        </w:rPr>
        <w:t>2002</w:t>
      </w:r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წლის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r w:rsidR="00C90186" w:rsidRPr="00845E28">
        <w:rPr>
          <w:rFonts w:ascii="Sylfaen" w:hAnsi="Sylfaen"/>
          <w:sz w:val="24"/>
          <w:szCs w:val="24"/>
          <w:u w:color="FF0000"/>
        </w:rPr>
        <w:t>2</w:t>
      </w:r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დეკემბრის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საბჭოს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რეკომენდაცია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r w:rsidR="00C90186" w:rsidRPr="00845E28">
        <w:rPr>
          <w:rFonts w:ascii="Sylfaen" w:hAnsi="Sylfaen"/>
          <w:sz w:val="24"/>
          <w:szCs w:val="24"/>
          <w:lang w:val="ka-GE"/>
        </w:rPr>
        <w:t xml:space="preserve">თამბაქოს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მოწევის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პრევენციისა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და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თამბაქოს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კონტროლის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სრულყოფა</w:t>
      </w:r>
      <w:proofErr w:type="spellEnd"/>
      <w:r w:rsidR="00C90186" w:rsidRPr="00845E28">
        <w:rPr>
          <w:rFonts w:ascii="Sylfaen" w:hAnsi="Sylfaen"/>
          <w:sz w:val="24"/>
          <w:szCs w:val="24"/>
          <w:u w:color="FF0000"/>
          <w:lang w:val="ka-GE"/>
        </w:rPr>
        <w:t>ს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თან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დაკავშირებული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ინიციატივების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შესახებ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r w:rsidR="00C90186" w:rsidRPr="00845E28">
        <w:rPr>
          <w:rFonts w:ascii="Sylfaen" w:hAnsi="Sylfaen"/>
          <w:sz w:val="24"/>
          <w:szCs w:val="24"/>
          <w:lang w:val="ka-GE"/>
        </w:rPr>
        <w:t>(N</w:t>
      </w:r>
      <w:r w:rsidR="00C90186" w:rsidRPr="00845E28">
        <w:rPr>
          <w:rFonts w:ascii="Sylfaen" w:hAnsi="Sylfaen"/>
          <w:sz w:val="24"/>
          <w:szCs w:val="24"/>
          <w:u w:color="FF0000"/>
          <w:lang w:val="ka-GE"/>
        </w:rPr>
        <w:t xml:space="preserve"> 2003/54/EC)</w:t>
      </w:r>
    </w:p>
    <w:p w:rsidR="00E464D6" w:rsidRPr="00845E28" w:rsidRDefault="00E464D6" w:rsidP="00845E28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p w:rsidR="00052DB4" w:rsidRPr="00845E28" w:rsidRDefault="00052DB4" w:rsidP="00845E28">
      <w:pPr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RPr="00845E28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45E28" w:rsidRDefault="00052DB4" w:rsidP="00845E28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რეგულ</w:t>
            </w:r>
            <w:r w:rsidR="001C4EC5"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ირების</w:t>
            </w:r>
            <w:r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სფერო</w:t>
            </w:r>
            <w:r w:rsidR="005532A9"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45E28" w:rsidRDefault="001C4EC5" w:rsidP="00845E28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</w:t>
            </w:r>
            <w:r w:rsidR="00052DB4"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ვადა</w:t>
            </w:r>
            <w:r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5532A9"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/</w:t>
            </w:r>
            <w:r w:rsidR="008A6D88" w:rsidRPr="00845E2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5532A9" w:rsidRPr="00845E2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არ</w:t>
            </w:r>
            <w:r w:rsidR="005532A9"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45E28" w:rsidRDefault="009F3C66" w:rsidP="00845E28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</w:t>
            </w:r>
            <w:r w:rsidR="002D2EBE"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 </w:t>
            </w:r>
            <w:r w:rsidR="00250885"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 მდგომარეობა</w:t>
            </w:r>
          </w:p>
        </w:tc>
      </w:tr>
      <w:tr w:rsidR="00052DB4" w:rsidRPr="00845E28" w:rsidTr="008A6D88">
        <w:trPr>
          <w:trHeight w:val="1790"/>
        </w:trPr>
        <w:tc>
          <w:tcPr>
            <w:tcW w:w="7360" w:type="dxa"/>
            <w:gridSpan w:val="2"/>
          </w:tcPr>
          <w:p w:rsidR="00CF5026" w:rsidRPr="00845E28" w:rsidRDefault="00F43634" w:rsidP="00845E28">
            <w:pPr>
              <w:ind w:left="250"/>
              <w:jc w:val="both"/>
              <w:rPr>
                <w:rFonts w:ascii="Sylfaen" w:hAnsi="Sylfaen" w:cs="Arial"/>
                <w:color w:val="666666"/>
                <w:sz w:val="24"/>
                <w:szCs w:val="24"/>
                <w:shd w:val="clear" w:color="auto" w:fill="FFFFFF"/>
                <w:lang w:val="ka-GE"/>
              </w:rPr>
            </w:pPr>
            <w:r w:rsidRPr="00845E2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ევროპარლამენტის და საბჭოს 2014 წლის 3 აპრილის </w:t>
            </w:r>
            <w:r w:rsidR="00F014CB" w:rsidRPr="00845E28">
              <w:rPr>
                <w:rFonts w:ascii="Sylfaen" w:hAnsi="Sylfaen" w:cs="Sylfaen"/>
                <w:sz w:val="24"/>
                <w:szCs w:val="24"/>
                <w:lang w:val="ka-GE"/>
              </w:rPr>
              <w:t>დირექტივის რეგულირების სფეროა</w:t>
            </w:r>
            <w:r w:rsidRPr="00845E2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845E28">
              <w:rPr>
                <w:rFonts w:ascii="Sylfaen" w:hAnsi="Sylfaen" w:cs="Sylfaen"/>
                <w:sz w:val="24"/>
                <w:szCs w:val="24"/>
              </w:rPr>
              <w:t>(</w:t>
            </w:r>
            <w:r w:rsidRPr="00845E28">
              <w:rPr>
                <w:rFonts w:ascii="Sylfaen" w:hAnsi="Sylfaen" w:cs="Sylfaen"/>
                <w:sz w:val="24"/>
                <w:szCs w:val="24"/>
                <w:lang w:val="ka-GE"/>
              </w:rPr>
              <w:t>2014/40/</w:t>
            </w:r>
            <w:r w:rsidRPr="00845E28">
              <w:rPr>
                <w:rFonts w:ascii="Sylfaen" w:hAnsi="Sylfaen" w:cs="Sylfaen"/>
                <w:sz w:val="24"/>
                <w:szCs w:val="24"/>
              </w:rPr>
              <w:t xml:space="preserve">EU) </w:t>
            </w:r>
            <w:r w:rsidRPr="00845E2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თამბაქოს </w:t>
            </w:r>
            <w:r w:rsidR="00526702" w:rsidRPr="00845E2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კონტროლი. დირექტივის მიზანია თამბაქოს </w:t>
            </w:r>
            <w:r w:rsidR="00C90186" w:rsidRPr="00845E28">
              <w:rPr>
                <w:rFonts w:ascii="Sylfaen" w:hAnsi="Sylfaen" w:cs="Sylfaen"/>
                <w:sz w:val="24"/>
                <w:szCs w:val="24"/>
                <w:lang w:val="ka-GE"/>
              </w:rPr>
              <w:t>მავნე ზემოქმედებისგან მოსახლეობის დაცვა და თამბაქოს კონტროლის ღონისძიებების დახვეწა უმაღლესი საერთაშორისო სტანდარტის შესაბამისად</w:t>
            </w:r>
          </w:p>
          <w:p w:rsidR="00052DB4" w:rsidRPr="00845E28" w:rsidRDefault="00052DB4" w:rsidP="00845E28">
            <w:pPr>
              <w:ind w:left="250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52DB4" w:rsidRPr="00845E28" w:rsidRDefault="00C90186" w:rsidP="00845E28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t>ვადა არ არის განსაზღვრული</w:t>
            </w:r>
          </w:p>
        </w:tc>
        <w:tc>
          <w:tcPr>
            <w:tcW w:w="3484" w:type="dxa"/>
          </w:tcPr>
          <w:p w:rsidR="00B90485" w:rsidRPr="00845E28" w:rsidRDefault="00B90485" w:rsidP="00845E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 w:cs="Sylfaen"/>
                <w:sz w:val="24"/>
                <w:szCs w:val="24"/>
                <w:lang w:val="ka-GE"/>
              </w:rPr>
              <w:t>შესრულებული</w:t>
            </w:r>
          </w:p>
          <w:p w:rsidR="00B90485" w:rsidRPr="00845E28" w:rsidRDefault="00B90485" w:rsidP="00845E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u w:val="single"/>
                <w:lang w:val="ka-GE"/>
              </w:rPr>
            </w:pPr>
            <w:r w:rsidRPr="00845E28">
              <w:rPr>
                <w:rFonts w:ascii="Sylfaen" w:hAnsi="Sylfaen" w:cs="Sylfaen"/>
                <w:sz w:val="24"/>
                <w:szCs w:val="24"/>
                <w:u w:val="single"/>
                <w:lang w:val="ka-GE"/>
              </w:rPr>
              <w:t>პროცესში</w:t>
            </w:r>
          </w:p>
          <w:p w:rsidR="00B90485" w:rsidRPr="00845E28" w:rsidRDefault="00B90485" w:rsidP="00845E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 w:cs="Sylfaen"/>
                <w:sz w:val="24"/>
                <w:szCs w:val="24"/>
                <w:lang w:val="ka-GE"/>
              </w:rPr>
              <w:t>ვადაგადაცილებული</w:t>
            </w:r>
          </w:p>
          <w:p w:rsidR="00250885" w:rsidRPr="00845E28" w:rsidRDefault="00B90485" w:rsidP="00845E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 w:cs="Sylfaen"/>
                <w:sz w:val="24"/>
                <w:szCs w:val="24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RPr="00845E28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45E28" w:rsidRDefault="00B90485" w:rsidP="00845E28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ვალდებულების შესრულების  ქრონოლოგია</w:t>
            </w:r>
          </w:p>
          <w:p w:rsidR="00B90485" w:rsidRPr="00845E28" w:rsidRDefault="00B90485" w:rsidP="00845E28">
            <w:pPr>
              <w:contextualSpacing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45E28" w:rsidRDefault="00B90485" w:rsidP="00845E28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შენიშვნა</w:t>
            </w:r>
          </w:p>
        </w:tc>
      </w:tr>
      <w:tr w:rsidR="00B90485" w:rsidRPr="00845E28" w:rsidTr="00F865B3">
        <w:trPr>
          <w:trHeight w:val="2542"/>
        </w:trPr>
        <w:tc>
          <w:tcPr>
            <w:tcW w:w="601" w:type="dxa"/>
          </w:tcPr>
          <w:p w:rsidR="00B90485" w:rsidRPr="00845E28" w:rsidRDefault="00B90485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</w:t>
            </w:r>
          </w:p>
        </w:tc>
        <w:tc>
          <w:tcPr>
            <w:tcW w:w="9639" w:type="dxa"/>
            <w:gridSpan w:val="2"/>
          </w:tcPr>
          <w:p w:rsidR="00845E28" w:rsidRDefault="00C90186" w:rsidP="00845E28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კონტროლის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კომისიის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სამუშაო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ჯგუფის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მიერ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2013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წელს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შემუშავებულია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 „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კონტოლის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შესახებ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კანონის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“, „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რეკლამის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შესახბ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კანონის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“, „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საგადასახადო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კოდექსის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“, „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ადმინისტრაციულ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სამართალდაღვევათ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კოდექსის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“, „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საზოგადობრივი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მაუწყვებლის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შესახებ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კანონის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ცვილებების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პროექტები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ცვილებების</w:t>
            </w:r>
            <w:proofErr w:type="spellEnd"/>
            <w:proofErr w:type="gram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პროექტები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მიზნად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ისახავს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კონტროლის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ღონისძიებების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გაძლიერებას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კონტროლის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სტრატეგიისა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სამოქმედო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გეგმის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დამტკიცებული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მთავრობის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მიერ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ევროკავშირის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შესაბამის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დირექტივების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რეკომენდაციების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ჯანმო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-ს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კონტროლის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ჩარჩო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კონვენციის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მისი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აღსრულების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გაიდლაინების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შესაბამისად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.</w:t>
            </w:r>
          </w:p>
          <w:p w:rsidR="00845E28" w:rsidRDefault="00C90186" w:rsidP="00845E28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br/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ასევე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კანონის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პრინციპების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სახით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ემატება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შემდეგი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: ,,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ჯანდაცვითი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გადაწყვეტილებების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მომზადების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მიღებისა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დანერგვის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პროცესში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ინდუსტრიის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ინტერესების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დაუშვებლობა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ინდუსტრიასთან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საჯარო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ორგანიზაციების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/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პირების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ურთიერთობათა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გამჭვირვალეობა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‘‘; ,,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მწარმოებელთა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რეალიზატორთა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პასუხისმგებლობა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აანაზღაურონ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ჯანმრთელობისა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გარემოსთვის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წარმოებით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მოხმარებით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მიყენებული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ზარალი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,,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ნაწარმის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შემცველობის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კონტროლი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‘‘;</w:t>
            </w:r>
          </w:p>
          <w:p w:rsidR="00845E28" w:rsidRDefault="00C90186" w:rsidP="00845E28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br/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ფართოვდება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ტერმინი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,,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ნაწარმი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‘‘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მას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ემატება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ისეთი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ნაწარმის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სახეობა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როგორებიცაა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მაგალითად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,,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ჩილიმისთვის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განკუთვნილი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‘‘, ,,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საწუწნი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‘‘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ა.შ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.;</w:t>
            </w:r>
          </w:p>
          <w:p w:rsidR="00845E28" w:rsidRDefault="00C90186" w:rsidP="00845E28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br/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კანონს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ემატება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ტერმინი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აქსესუარი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მოხმარებისათვის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განკუთვნილი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მოწყობილობა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‘‘,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რიმელშიც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გადის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მუნდშტუკი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ჩიბუხი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ჩილიმი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შესასუნთქი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ან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საწუწნი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მოწყობილობები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სიგარეტის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ასანთები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სპეციალური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სანთებელები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გასახვევი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სპეციალური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ქაღალდი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შესახვევი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ან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დასაჭრელი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აპარატი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საფერფლე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ნებისმიერი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სახის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პორტსიგარა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ან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სხვა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საგნები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რომლებიც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განკუთვნილია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უპირატესად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მოხმარებისათვის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ან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შენახვისათვის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აგრეთვე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სიგარეტის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მისი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კოლოფის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ზემოაღნიშნული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საგნების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ილუსტრაციები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ან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გამომსახველი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სხვა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საგნები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შედეგად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, „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აქსესუარი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მოხმარებისათვის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განკუთვნილი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მოწყობილობაზეც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‘‘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გავრცელდება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ნაწარმის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რეალიზაციისთვის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არსებული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შეზღუდვები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აკრძალვები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;</w:t>
            </w:r>
          </w:p>
          <w:p w:rsidR="00C90186" w:rsidRPr="00845E28" w:rsidRDefault="00C90186" w:rsidP="00845E28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proofErr w:type="gram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საგადასახადო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კოდექსის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მიხედვით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გათვალისწინებულია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ნაწარმის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ყოვეწლიური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დაბეგვრის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ზრდა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ასევე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ელექტორნული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სიგარეტზე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დაბეგვრის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მექანიზმების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შემოღება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.</w:t>
            </w:r>
          </w:p>
          <w:p w:rsidR="00F865B3" w:rsidRPr="00845E28" w:rsidRDefault="00F865B3" w:rsidP="00845E28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</w:tcPr>
          <w:p w:rsidR="00B90485" w:rsidRPr="00845E28" w:rsidRDefault="00B90485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845E28" w:rsidTr="00B90485">
        <w:trPr>
          <w:trHeight w:val="701"/>
        </w:trPr>
        <w:tc>
          <w:tcPr>
            <w:tcW w:w="601" w:type="dxa"/>
          </w:tcPr>
          <w:p w:rsidR="00B90485" w:rsidRPr="00845E28" w:rsidRDefault="00B90485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845E28" w:rsidRDefault="00B56D54" w:rsidP="00B56D5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2017 </w:t>
            </w:r>
            <w:bookmarkStart w:id="0" w:name="_GoBack"/>
            <w:bookmarkEnd w:id="0"/>
            <w:r w:rsidR="008A6D88"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წლის </w:t>
            </w:r>
            <w:r w:rsidR="00281F60" w:rsidRPr="00845E28">
              <w:rPr>
                <w:rFonts w:ascii="Sylfaen" w:hAnsi="Sylfaen"/>
                <w:sz w:val="24"/>
                <w:szCs w:val="24"/>
              </w:rPr>
              <w:t>5</w:t>
            </w:r>
            <w:r w:rsidR="00B90485"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281F60" w:rsidRPr="00845E28">
              <w:rPr>
                <w:rFonts w:ascii="Sylfaen" w:hAnsi="Sylfaen"/>
                <w:sz w:val="24"/>
                <w:szCs w:val="24"/>
                <w:lang w:val="ka-GE"/>
              </w:rPr>
              <w:t>აპრილს</w:t>
            </w:r>
            <w:r w:rsidR="00B90485"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 კანონპროექტთა პაკეტი </w:t>
            </w:r>
            <w:r w:rsidR="00281F60" w:rsidRPr="00845E28">
              <w:rPr>
                <w:rFonts w:ascii="Sylfaen" w:hAnsi="Sylfaen"/>
                <w:sz w:val="24"/>
                <w:szCs w:val="24"/>
                <w:lang w:val="ka-GE"/>
              </w:rPr>
              <w:t>თამბაქოს კონტროლის</w:t>
            </w:r>
            <w:r w:rsidR="00B90485"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 შესახებ საქართველოს </w:t>
            </w:r>
            <w:r w:rsidR="00281F60"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პარლამენტის ჯანმრთელობის დაცვისა და სოციალურ საკითხთა კომიტეტმა (წამყვანი) პირველი </w:t>
            </w:r>
            <w:r w:rsidR="00281F60" w:rsidRPr="00845E2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მოსმენით განიხილა</w:t>
            </w:r>
          </w:p>
        </w:tc>
        <w:tc>
          <w:tcPr>
            <w:tcW w:w="3484" w:type="dxa"/>
          </w:tcPr>
          <w:p w:rsidR="00B90485" w:rsidRPr="00845E28" w:rsidRDefault="00B90485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845E28" w:rsidTr="00B90485">
        <w:trPr>
          <w:trHeight w:val="710"/>
        </w:trPr>
        <w:tc>
          <w:tcPr>
            <w:tcW w:w="601" w:type="dxa"/>
          </w:tcPr>
          <w:p w:rsidR="00B90485" w:rsidRPr="00845E28" w:rsidRDefault="00B90485" w:rsidP="00845E28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3</w:t>
            </w:r>
          </w:p>
        </w:tc>
        <w:tc>
          <w:tcPr>
            <w:tcW w:w="9639" w:type="dxa"/>
            <w:gridSpan w:val="2"/>
          </w:tcPr>
          <w:p w:rsidR="00B90485" w:rsidRPr="00845E28" w:rsidRDefault="008A6D88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2017 წლის </w:t>
            </w:r>
            <w:r w:rsidR="002C0F4D" w:rsidRPr="00845E28"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  <w:r w:rsidR="00B90485"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2C0F4D"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მაისს </w:t>
            </w:r>
            <w:r w:rsidR="00B90485" w:rsidRPr="00845E28">
              <w:rPr>
                <w:rFonts w:ascii="Sylfaen" w:hAnsi="Sylfaen"/>
                <w:sz w:val="24"/>
                <w:szCs w:val="24"/>
                <w:lang w:val="ka-GE"/>
              </w:rPr>
              <w:t>საქართველოს პარლამენტ</w:t>
            </w:r>
            <w:r w:rsidR="002C0F4D" w:rsidRPr="00845E28">
              <w:rPr>
                <w:rFonts w:ascii="Sylfaen" w:hAnsi="Sylfaen"/>
                <w:sz w:val="24"/>
                <w:szCs w:val="24"/>
                <w:lang w:val="ka-GE"/>
              </w:rPr>
              <w:t>მა მესამე მოსმენით დაამტკიცა</w:t>
            </w:r>
          </w:p>
        </w:tc>
        <w:tc>
          <w:tcPr>
            <w:tcW w:w="3484" w:type="dxa"/>
          </w:tcPr>
          <w:p w:rsidR="00B90485" w:rsidRPr="00845E28" w:rsidRDefault="00B90485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2C0F4D" w:rsidRPr="00845E28" w:rsidTr="00B90485">
        <w:trPr>
          <w:trHeight w:val="710"/>
        </w:trPr>
        <w:tc>
          <w:tcPr>
            <w:tcW w:w="601" w:type="dxa"/>
          </w:tcPr>
          <w:p w:rsidR="002C0F4D" w:rsidRPr="00845E28" w:rsidRDefault="002C0F4D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2C0F4D" w:rsidRPr="00845E28" w:rsidRDefault="00953B66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t>კანონი ძალაშია გამოქვეყნებისთანავე (30.05.2017)</w:t>
            </w:r>
          </w:p>
        </w:tc>
        <w:tc>
          <w:tcPr>
            <w:tcW w:w="3484" w:type="dxa"/>
          </w:tcPr>
          <w:p w:rsidR="002C0F4D" w:rsidRPr="00845E28" w:rsidRDefault="002C0F4D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A1D06" w:rsidRPr="00845E28" w:rsidTr="00B90485">
        <w:trPr>
          <w:trHeight w:val="548"/>
        </w:trPr>
        <w:tc>
          <w:tcPr>
            <w:tcW w:w="601" w:type="dxa"/>
          </w:tcPr>
          <w:p w:rsidR="006A1D06" w:rsidRPr="00845E28" w:rsidRDefault="006A1D06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9639" w:type="dxa"/>
            <w:gridSpan w:val="2"/>
          </w:tcPr>
          <w:p w:rsidR="006A1D06" w:rsidRPr="00845E28" w:rsidRDefault="006A1D06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შრომის, ჯანმრთელობისა და სოციალური დაცვის სამინისტროს </w:t>
            </w:r>
            <w:r w:rsidR="00C90186"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და სხვა პასუხისმგებელი ორგანოების </w:t>
            </w: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მიერ </w:t>
            </w:r>
            <w:r w:rsidR="000D4852" w:rsidRPr="00845E28">
              <w:rPr>
                <w:rFonts w:ascii="Sylfaen" w:hAnsi="Sylfaen"/>
                <w:sz w:val="24"/>
                <w:szCs w:val="24"/>
                <w:lang w:val="ka-GE"/>
              </w:rPr>
              <w:t>მზადდება შესაბამისი ნორმატიული აქტ</w:t>
            </w:r>
            <w:r w:rsidR="00C90186" w:rsidRPr="00845E28">
              <w:rPr>
                <w:rFonts w:ascii="Sylfaen" w:hAnsi="Sylfaen"/>
                <w:sz w:val="24"/>
                <w:szCs w:val="24"/>
                <w:lang w:val="ka-GE"/>
              </w:rPr>
              <w:t>ები</w:t>
            </w:r>
          </w:p>
        </w:tc>
        <w:tc>
          <w:tcPr>
            <w:tcW w:w="3484" w:type="dxa"/>
          </w:tcPr>
          <w:p w:rsidR="006A1D06" w:rsidRPr="00845E28" w:rsidRDefault="006A1D06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5753D9" w:rsidRPr="00845E28" w:rsidRDefault="005753D9" w:rsidP="00845E28">
      <w:pPr>
        <w:jc w:val="both"/>
        <w:rPr>
          <w:rFonts w:ascii="Sylfaen" w:hAnsi="Sylfaen"/>
          <w:sz w:val="24"/>
          <w:szCs w:val="24"/>
          <w:lang w:val="ka-GE"/>
        </w:rPr>
      </w:pPr>
    </w:p>
    <w:p w:rsidR="008313E7" w:rsidRPr="00845E28" w:rsidRDefault="002D2EBE" w:rsidP="00845E28">
      <w:pPr>
        <w:jc w:val="both"/>
        <w:rPr>
          <w:rFonts w:ascii="Sylfaen" w:hAnsi="Sylfaen"/>
          <w:sz w:val="24"/>
          <w:szCs w:val="24"/>
        </w:rPr>
      </w:pPr>
      <w:r w:rsidRPr="00845E28">
        <w:rPr>
          <w:rFonts w:ascii="Sylfaen" w:hAnsi="Sylfaen"/>
          <w:sz w:val="24"/>
          <w:szCs w:val="24"/>
          <w:lang w:val="ka-GE"/>
        </w:rPr>
        <w:t>სხვა პასუხ</w:t>
      </w:r>
      <w:r w:rsidR="00180F13" w:rsidRPr="00845E28">
        <w:rPr>
          <w:rFonts w:ascii="Sylfaen" w:hAnsi="Sylfaen"/>
          <w:sz w:val="24"/>
          <w:szCs w:val="24"/>
          <w:lang w:val="ka-GE"/>
        </w:rPr>
        <w:t>ის</w:t>
      </w:r>
      <w:r w:rsidRPr="00845E28">
        <w:rPr>
          <w:rFonts w:ascii="Sylfaen" w:hAnsi="Sylfaen"/>
          <w:sz w:val="24"/>
          <w:szCs w:val="24"/>
          <w:lang w:val="ka-GE"/>
        </w:rPr>
        <w:t>მგებელი ქვე-უწყება/სააგენტო:</w:t>
      </w:r>
      <w:r w:rsidR="005532A9" w:rsidRPr="00845E28">
        <w:rPr>
          <w:rFonts w:ascii="Sylfaen" w:hAnsi="Sylfaen"/>
          <w:sz w:val="24"/>
          <w:szCs w:val="24"/>
          <w:lang w:val="ka-GE"/>
        </w:rPr>
        <w:t xml:space="preserve"> </w:t>
      </w:r>
      <w:r w:rsidRPr="00845E28">
        <w:rPr>
          <w:rFonts w:ascii="Sylfaen" w:hAnsi="Sylfaen"/>
          <w:sz w:val="24"/>
          <w:szCs w:val="24"/>
          <w:lang w:val="ka-GE"/>
        </w:rPr>
        <w:t xml:space="preserve"> </w:t>
      </w:r>
    </w:p>
    <w:p w:rsidR="005753D9" w:rsidRPr="00845E28" w:rsidRDefault="005753D9" w:rsidP="00845E2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753D9" w:rsidRPr="00845E28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02CB6296"/>
    <w:multiLevelType w:val="hybridMultilevel"/>
    <w:tmpl w:val="6F4E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C0C6C"/>
    <w:multiLevelType w:val="multilevel"/>
    <w:tmpl w:val="8BD4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3314"/>
    <w:rsid w:val="00052DB4"/>
    <w:rsid w:val="000D4852"/>
    <w:rsid w:val="00122443"/>
    <w:rsid w:val="001526B5"/>
    <w:rsid w:val="00180F13"/>
    <w:rsid w:val="001C4EC5"/>
    <w:rsid w:val="00250885"/>
    <w:rsid w:val="00281F60"/>
    <w:rsid w:val="002C0F4D"/>
    <w:rsid w:val="002D2EBE"/>
    <w:rsid w:val="00310F86"/>
    <w:rsid w:val="003851C4"/>
    <w:rsid w:val="00481946"/>
    <w:rsid w:val="004B17FE"/>
    <w:rsid w:val="00526702"/>
    <w:rsid w:val="005532A9"/>
    <w:rsid w:val="005753D9"/>
    <w:rsid w:val="005A4464"/>
    <w:rsid w:val="005C181B"/>
    <w:rsid w:val="005C4553"/>
    <w:rsid w:val="006A1D06"/>
    <w:rsid w:val="006A7776"/>
    <w:rsid w:val="007F3314"/>
    <w:rsid w:val="008313E7"/>
    <w:rsid w:val="00845E28"/>
    <w:rsid w:val="00856068"/>
    <w:rsid w:val="00893975"/>
    <w:rsid w:val="008A6D88"/>
    <w:rsid w:val="008C4F40"/>
    <w:rsid w:val="008F6317"/>
    <w:rsid w:val="00953B66"/>
    <w:rsid w:val="00963175"/>
    <w:rsid w:val="009F3C66"/>
    <w:rsid w:val="00B01BC1"/>
    <w:rsid w:val="00B56D54"/>
    <w:rsid w:val="00B90485"/>
    <w:rsid w:val="00BE380E"/>
    <w:rsid w:val="00C521F3"/>
    <w:rsid w:val="00C77E6C"/>
    <w:rsid w:val="00C90186"/>
    <w:rsid w:val="00CF5026"/>
    <w:rsid w:val="00DB74A9"/>
    <w:rsid w:val="00E464D6"/>
    <w:rsid w:val="00F014CB"/>
    <w:rsid w:val="00F4363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6ADF2-0815-4298-AAF2-0F0D84B2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5026"/>
    <w:rPr>
      <w:color w:val="0000FF"/>
      <w:u w:val="single"/>
    </w:rPr>
  </w:style>
  <w:style w:type="character" w:customStyle="1" w:styleId="offscreen">
    <w:name w:val="offscreen"/>
    <w:basedOn w:val="DefaultParagraphFont"/>
    <w:rsid w:val="00CF5026"/>
  </w:style>
  <w:style w:type="paragraph" w:styleId="NormalWeb">
    <w:name w:val="Normal (Web)"/>
    <w:basedOn w:val="Normal"/>
    <w:uiPriority w:val="99"/>
    <w:semiHidden/>
    <w:unhideWhenUsed/>
    <w:rsid w:val="00F8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86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Zurab Vanishvili</cp:lastModifiedBy>
  <cp:revision>5</cp:revision>
  <cp:lastPrinted>2017-06-27T11:19:00Z</cp:lastPrinted>
  <dcterms:created xsi:type="dcterms:W3CDTF">2017-10-16T13:38:00Z</dcterms:created>
  <dcterms:modified xsi:type="dcterms:W3CDTF">2017-10-17T00:45:00Z</dcterms:modified>
</cp:coreProperties>
</file>